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tblpY="-465"/>
        <w:tblW w:w="9681" w:type="dxa"/>
        <w:tblLayout w:type="fixed"/>
        <w:tblLook w:val="04A0" w:firstRow="1" w:lastRow="0" w:firstColumn="1" w:lastColumn="0" w:noHBand="0" w:noVBand="1"/>
      </w:tblPr>
      <w:tblGrid>
        <w:gridCol w:w="4680"/>
        <w:gridCol w:w="5001"/>
      </w:tblGrid>
      <w:tr w:rsidR="00836F48" w14:paraId="3712664C" w14:textId="77777777" w:rsidTr="00A22892">
        <w:trPr>
          <w:trHeight w:val="213"/>
        </w:trPr>
        <w:tc>
          <w:tcPr>
            <w:tcW w:w="4680" w:type="dxa"/>
            <w:tcBorders>
              <w:top w:val="nil"/>
              <w:left w:val="nil"/>
              <w:bottom w:val="single" w:sz="8" w:space="0" w:color="548DD4" w:themeColor="text2" w:themeTint="99"/>
              <w:right w:val="nil"/>
            </w:tcBorders>
          </w:tcPr>
          <w:p w14:paraId="5F30A6C5" w14:textId="77777777" w:rsidR="00F21803" w:rsidRDefault="00F21803" w:rsidP="00836F48">
            <w:bookmarkStart w:id="0" w:name="_GoBack"/>
            <w:bookmarkEnd w:id="0"/>
            <w:r>
              <w:rPr>
                <w:noProof/>
                <w:lang w:eastAsia="fr-CA"/>
              </w:rPr>
              <w:drawing>
                <wp:anchor distT="0" distB="0" distL="114300" distR="114300" simplePos="0" relativeHeight="251659264" behindDoc="0" locked="0" layoutInCell="1" allowOverlap="1" wp14:anchorId="791859BD" wp14:editId="54352D39">
                  <wp:simplePos x="0" y="0"/>
                  <wp:positionH relativeFrom="column">
                    <wp:posOffset>101794</wp:posOffset>
                  </wp:positionH>
                  <wp:positionV relativeFrom="paragraph">
                    <wp:posOffset>65491</wp:posOffset>
                  </wp:positionV>
                  <wp:extent cx="1601491" cy="10642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02912" cy="1065161"/>
                          </a:xfrm>
                          <a:prstGeom prst="rect">
                            <a:avLst/>
                          </a:prstGeom>
                          <a:noFill/>
                        </pic:spPr>
                      </pic:pic>
                    </a:graphicData>
                  </a:graphic>
                  <wp14:sizeRelH relativeFrom="page">
                    <wp14:pctWidth>0</wp14:pctWidth>
                  </wp14:sizeRelH>
                  <wp14:sizeRelV relativeFrom="page">
                    <wp14:pctHeight>0</wp14:pctHeight>
                  </wp14:sizeRelV>
                </wp:anchor>
              </w:drawing>
            </w:r>
          </w:p>
        </w:tc>
        <w:tc>
          <w:tcPr>
            <w:tcW w:w="5001" w:type="dxa"/>
            <w:tcBorders>
              <w:top w:val="nil"/>
              <w:left w:val="nil"/>
              <w:bottom w:val="single" w:sz="8" w:space="0" w:color="548DD4" w:themeColor="text2" w:themeTint="99"/>
              <w:right w:val="nil"/>
            </w:tcBorders>
          </w:tcPr>
          <w:p w14:paraId="687AB113" w14:textId="77777777" w:rsidR="00F21803" w:rsidRDefault="00F21803" w:rsidP="00836F48"/>
          <w:p w14:paraId="45E81A1E" w14:textId="77777777" w:rsidR="00F21803" w:rsidRDefault="00F21803" w:rsidP="00836F48">
            <w:pPr>
              <w:pStyle w:val="CompanyName"/>
              <w:framePr w:hSpace="0" w:wrap="auto" w:vAnchor="margin" w:hAnchor="text" w:xAlign="left" w:yAlign="inline"/>
              <w:rPr>
                <w:rFonts w:ascii="Bookman Old Style" w:hAnsi="Bookman Old Style"/>
                <w:b/>
                <w:sz w:val="14"/>
                <w:szCs w:val="14"/>
              </w:rPr>
            </w:pPr>
          </w:p>
          <w:p w14:paraId="00F9A8DD" w14:textId="63887880" w:rsidR="008F0819" w:rsidRDefault="008F0819" w:rsidP="00E52422">
            <w:pPr>
              <w:pStyle w:val="CompanyInformation"/>
              <w:spacing w:after="120"/>
              <w:jc w:val="right"/>
              <w:rPr>
                <w:rFonts w:ascii="Bookman Old Style" w:hAnsi="Bookman Old Style"/>
              </w:rPr>
            </w:pPr>
          </w:p>
          <w:p w14:paraId="19069BCE" w14:textId="7B79BFBF" w:rsidR="00EA2F0F" w:rsidRDefault="00EA2F0F" w:rsidP="00EA2F0F">
            <w:pPr>
              <w:pStyle w:val="CompanyInformation"/>
              <w:spacing w:after="120"/>
              <w:jc w:val="right"/>
              <w:rPr>
                <w:rFonts w:ascii="Bookman Old Style" w:hAnsi="Bookman Old Style"/>
              </w:rPr>
            </w:pPr>
          </w:p>
          <w:p w14:paraId="2D93EB81" w14:textId="08BE0571" w:rsidR="00EA2F0F" w:rsidRDefault="00A41CC9" w:rsidP="00EA2F0F">
            <w:pPr>
              <w:pStyle w:val="CompanyInformation"/>
              <w:spacing w:after="120"/>
              <w:jc w:val="right"/>
              <w:rPr>
                <w:rFonts w:ascii="Bookman Old Style" w:hAnsi="Bookman Old Style"/>
              </w:rPr>
            </w:pPr>
            <w:r>
              <w:rPr>
                <w:noProof/>
                <w:lang w:val="fr-CA" w:eastAsia="fr-CA"/>
              </w:rPr>
              <w:drawing>
                <wp:inline distT="0" distB="0" distL="0" distR="0" wp14:anchorId="7CE367AF" wp14:editId="3B0DA826">
                  <wp:extent cx="1017455" cy="582507"/>
                  <wp:effectExtent l="0" t="0" r="0" b="1905"/>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095" cy="610926"/>
                          </a:xfrm>
                          <a:prstGeom prst="rect">
                            <a:avLst/>
                          </a:prstGeom>
                          <a:noFill/>
                          <a:ln>
                            <a:noFill/>
                          </a:ln>
                        </pic:spPr>
                      </pic:pic>
                    </a:graphicData>
                  </a:graphic>
                </wp:inline>
              </w:drawing>
            </w:r>
          </w:p>
          <w:p w14:paraId="04CFE860" w14:textId="0ED19325" w:rsidR="00EA2F0F" w:rsidRPr="00827B03" w:rsidRDefault="00EA2F0F" w:rsidP="00EA2F0F">
            <w:pPr>
              <w:pStyle w:val="CompanyInformation"/>
              <w:spacing w:after="120"/>
              <w:jc w:val="right"/>
              <w:rPr>
                <w:rFonts w:ascii="Bookman Old Style" w:hAnsi="Bookman Old Style"/>
              </w:rPr>
            </w:pPr>
          </w:p>
        </w:tc>
      </w:tr>
      <w:tr w:rsidR="00A22892" w:rsidRPr="00A22892" w14:paraId="25A0E289" w14:textId="77777777" w:rsidTr="00A22892">
        <w:trPr>
          <w:trHeight w:val="1243"/>
        </w:trPr>
        <w:tc>
          <w:tcPr>
            <w:tcW w:w="9681" w:type="dxa"/>
            <w:gridSpan w:val="2"/>
            <w:tcBorders>
              <w:top w:val="single" w:sz="8" w:space="0" w:color="8DB3E2" w:themeColor="text2" w:themeTint="66"/>
              <w:left w:val="nil"/>
              <w:bottom w:val="single" w:sz="8" w:space="0" w:color="548DD4" w:themeColor="text2" w:themeTint="99"/>
              <w:right w:val="nil"/>
            </w:tcBorders>
          </w:tcPr>
          <w:p w14:paraId="7A98FD8D" w14:textId="5E3B0D41" w:rsidR="00A22892" w:rsidRPr="00A22892" w:rsidRDefault="00A22892" w:rsidP="00A22892">
            <w:pPr>
              <w:rPr>
                <w:rFonts w:ascii="Arial" w:hAnsi="Arial" w:cs="Arial"/>
                <w:b/>
                <w:color w:val="548DD4" w:themeColor="text2" w:themeTint="99"/>
                <w:sz w:val="10"/>
                <w:szCs w:val="10"/>
                <w:u w:val="single"/>
                <w:lang w:val="fr-FR"/>
              </w:rPr>
            </w:pPr>
          </w:p>
          <w:p w14:paraId="59CDFD36" w14:textId="1A786822" w:rsidR="00836F48" w:rsidRPr="00A22892" w:rsidRDefault="00A22892" w:rsidP="00836F48">
            <w:pPr>
              <w:spacing w:line="240" w:lineRule="exact"/>
              <w:rPr>
                <w:rFonts w:ascii="Arial Black" w:hAnsi="Arial Black"/>
                <w:color w:val="548DD4" w:themeColor="text2" w:themeTint="99"/>
                <w:sz w:val="24"/>
                <w:szCs w:val="24"/>
                <w:u w:val="single"/>
              </w:rPr>
            </w:pPr>
            <w:r w:rsidRPr="00A22892">
              <w:rPr>
                <w:rFonts w:ascii="Arial" w:hAnsi="Arial" w:cs="Arial"/>
                <w:noProof/>
                <w:color w:val="548DD4" w:themeColor="text2" w:themeTint="99"/>
                <w:sz w:val="24"/>
                <w:szCs w:val="24"/>
                <w:u w:val="single"/>
                <w:lang w:eastAsia="fr-CA"/>
              </w:rPr>
              <mc:AlternateContent>
                <mc:Choice Requires="wps">
                  <w:drawing>
                    <wp:anchor distT="0" distB="0" distL="114300" distR="114300" simplePos="0" relativeHeight="251665408" behindDoc="0" locked="0" layoutInCell="1" allowOverlap="1" wp14:anchorId="5A43F704" wp14:editId="183F9AF3">
                      <wp:simplePos x="0" y="0"/>
                      <wp:positionH relativeFrom="margin">
                        <wp:posOffset>4445</wp:posOffset>
                      </wp:positionH>
                      <wp:positionV relativeFrom="margin">
                        <wp:posOffset>104140</wp:posOffset>
                      </wp:positionV>
                      <wp:extent cx="5962650" cy="650875"/>
                      <wp:effectExtent l="95250" t="133350" r="133350" b="1111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650875"/>
                              </a:xfrm>
                              <a:prstGeom prst="rect">
                                <a:avLst/>
                              </a:prstGeom>
                              <a:solidFill>
                                <a:schemeClr val="tx2">
                                  <a:lumMod val="75000"/>
                                </a:schemeClr>
                              </a:solidFill>
                              <a:ln>
                                <a:solidFill>
                                  <a:schemeClr val="tx2">
                                    <a:lumMod val="60000"/>
                                    <a:lumOff val="40000"/>
                                  </a:schemeClr>
                                </a:solidFill>
                              </a:ln>
                              <a:effectLst>
                                <a:glow rad="63500">
                                  <a:schemeClr val="accent1">
                                    <a:satMod val="175000"/>
                                    <a:alpha val="40000"/>
                                  </a:schemeClr>
                                </a:glow>
                                <a:outerShdw blurRad="50800" dist="38100" dir="16200000" rotWithShape="0">
                                  <a:prstClr val="black">
                                    <a:alpha val="40000"/>
                                  </a:prstClr>
                                </a:outerShdw>
                              </a:effectLst>
                              <a:scene3d>
                                <a:camera prst="orthographicFront">
                                  <a:rot lat="0" lon="0" rev="0"/>
                                </a:camera>
                                <a:lightRig rig="glow" dir="t">
                                  <a:rot lat="0" lon="0" rev="4800000"/>
                                </a:lightRig>
                              </a:scene3d>
                              <a:sp3d prstMaterial="matte">
                                <a:bevelT w="127000" h="63500" prst="convex"/>
                              </a:sp3d>
                            </wps:spPr>
                            <wps:style>
                              <a:lnRef idx="1">
                                <a:schemeClr val="accent2"/>
                              </a:lnRef>
                              <a:fillRef idx="3">
                                <a:schemeClr val="accent2"/>
                              </a:fillRef>
                              <a:effectRef idx="2">
                                <a:schemeClr val="accent2"/>
                              </a:effectRef>
                              <a:fontRef idx="minor">
                                <a:schemeClr val="lt1"/>
                              </a:fontRef>
                            </wps:style>
                            <wps:txbx>
                              <w:txbxContent>
                                <w:p w14:paraId="5F42ED87" w14:textId="77777777" w:rsidR="00A22892" w:rsidRPr="00480B94" w:rsidRDefault="00A22892" w:rsidP="00A22892">
                                  <w:pPr>
                                    <w:spacing w:after="120"/>
                                    <w:ind w:right="-163"/>
                                    <w:jc w:val="center"/>
                                    <w:rPr>
                                      <w:rFonts w:asciiTheme="majorHAnsi" w:hAnsiTheme="majorHAnsi"/>
                                      <w:b/>
                                      <w:sz w:val="4"/>
                                      <w:szCs w:val="4"/>
                                      <w:lang w:val="fr-FR"/>
                                    </w:rPr>
                                  </w:pPr>
                                </w:p>
                                <w:p w14:paraId="259F4124" w14:textId="77777777" w:rsidR="00A22892" w:rsidRPr="002A0FBF" w:rsidRDefault="00A22892" w:rsidP="00A22892">
                                  <w:pPr>
                                    <w:spacing w:after="120"/>
                                    <w:ind w:right="-163"/>
                                    <w:jc w:val="center"/>
                                    <w:rPr>
                                      <w:rFonts w:ascii="Arial" w:hAnsi="Arial" w:cs="Arial"/>
                                      <w:b/>
                                      <w:sz w:val="44"/>
                                      <w:szCs w:val="44"/>
                                      <w:lang w:val="fr-FR"/>
                                    </w:rPr>
                                  </w:pPr>
                                  <w:r w:rsidRPr="002A0FBF">
                                    <w:rPr>
                                      <w:rFonts w:ascii="Arial" w:hAnsi="Arial" w:cs="Arial"/>
                                      <w:b/>
                                      <w:sz w:val="44"/>
                                      <w:szCs w:val="44"/>
                                      <w:lang w:val="fr-FR"/>
                                    </w:rPr>
                                    <w:t>COMMUNIQUÉ DE PRESSE</w:t>
                                  </w:r>
                                </w:p>
                                <w:p w14:paraId="6992C789" w14:textId="77777777" w:rsidR="00A22892" w:rsidRPr="00D5369F" w:rsidRDefault="00A22892" w:rsidP="00A22892">
                                  <w:pPr>
                                    <w:ind w:right="-163"/>
                                    <w:jc w:val="center"/>
                                    <w:rPr>
                                      <w:rFonts w:ascii="Old English Text MT" w:hAnsi="Old English Text MT"/>
                                      <w:sz w:val="72"/>
                                      <w:lang w:val="fr-FR"/>
                                    </w:rPr>
                                  </w:pPr>
                                </w:p>
                                <w:p w14:paraId="3EFDBB38" w14:textId="77777777" w:rsidR="00A22892" w:rsidRPr="00D5369F" w:rsidRDefault="00A22892" w:rsidP="00A22892">
                                  <w:pPr>
                                    <w:ind w:right="-163"/>
                                    <w:jc w:val="cente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A43F704" id="_x0000_t202" coordsize="21600,21600" o:spt="202" path="m,l,21600r21600,l21600,xe">
                      <v:stroke joinstyle="miter"/>
                      <v:path gradientshapeok="t" o:connecttype="rect"/>
                    </v:shapetype>
                    <v:shape id="Text Box 3" o:spid="_x0000_s1026" type="#_x0000_t202" style="position:absolute;margin-left:.35pt;margin-top:8.2pt;width:469.5pt;height:5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" fillcolor="#17365d [2415]" strokecolor="#548dd4 [1951]">
                      <v:shadow on="t" color="black" opacity="26214f" origin=",.5" offset="0,-3pt"/>
                      <v:path arrowok="t"/>
                      <v:textbox>
                        <w:txbxContent>
                          <w:p w14:paraId="5F42ED87" w14:textId="77777777" w:rsidR="00A22892" w:rsidRPr="00480B94" w:rsidRDefault="00A22892" w:rsidP="00A22892">
                            <w:pPr>
                              <w:spacing w:after="120"/>
                              <w:ind w:right="-163"/>
                              <w:jc w:val="center"/>
                              <w:rPr>
                                <w:rFonts w:asciiTheme="majorHAnsi" w:hAnsiTheme="majorHAnsi"/>
                                <w:b/>
                                <w:sz w:val="4"/>
                                <w:szCs w:val="4"/>
                                <w:lang w:val="fr-FR"/>
                              </w:rPr>
                            </w:pPr>
                          </w:p>
                          <w:p w14:paraId="259F4124" w14:textId="77777777" w:rsidR="00A22892" w:rsidRPr="002A0FBF" w:rsidRDefault="00A22892" w:rsidP="00A22892">
                            <w:pPr>
                              <w:spacing w:after="120"/>
                              <w:ind w:right="-163"/>
                              <w:jc w:val="center"/>
                              <w:rPr>
                                <w:rFonts w:ascii="Arial" w:hAnsi="Arial" w:cs="Arial"/>
                                <w:b/>
                                <w:sz w:val="44"/>
                                <w:szCs w:val="44"/>
                                <w:lang w:val="fr-FR"/>
                              </w:rPr>
                            </w:pPr>
                            <w:r w:rsidRPr="002A0FBF">
                              <w:rPr>
                                <w:rFonts w:ascii="Arial" w:hAnsi="Arial" w:cs="Arial"/>
                                <w:b/>
                                <w:sz w:val="44"/>
                                <w:szCs w:val="44"/>
                                <w:lang w:val="fr-FR"/>
                              </w:rPr>
                              <w:t>COMMUNIQUÉ DE PRESSE</w:t>
                            </w:r>
                          </w:p>
                          <w:p w14:paraId="6992C789" w14:textId="77777777" w:rsidR="00A22892" w:rsidRPr="00D5369F" w:rsidRDefault="00A22892" w:rsidP="00A22892">
                            <w:pPr>
                              <w:ind w:right="-163"/>
                              <w:jc w:val="center"/>
                              <w:rPr>
                                <w:rFonts w:ascii="Old English Text MT" w:hAnsi="Old English Text MT"/>
                                <w:sz w:val="72"/>
                                <w:lang w:val="fr-FR"/>
                              </w:rPr>
                            </w:pPr>
                          </w:p>
                          <w:p w14:paraId="3EFDBB38" w14:textId="77777777" w:rsidR="00A22892" w:rsidRPr="00D5369F" w:rsidRDefault="00A22892" w:rsidP="00A22892">
                            <w:pPr>
                              <w:ind w:right="-163"/>
                              <w:jc w:val="center"/>
                              <w:rPr>
                                <w:lang w:val="fr-FR"/>
                              </w:rPr>
                            </w:pPr>
                          </w:p>
                        </w:txbxContent>
                      </v:textbox>
                      <w10:wrap anchorx="margin" anchory="margin"/>
                    </v:shape>
                  </w:pict>
                </mc:Fallback>
              </mc:AlternateContent>
            </w:r>
          </w:p>
          <w:p w14:paraId="4E77EE16"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69F5AA4A"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1092D318" w14:textId="77777777" w:rsidR="006D1128" w:rsidRPr="00A22892" w:rsidRDefault="006D1128" w:rsidP="00836F48">
            <w:pPr>
              <w:spacing w:line="240" w:lineRule="exact"/>
              <w:rPr>
                <w:rFonts w:ascii="Arial Black" w:hAnsi="Arial Black"/>
                <w:color w:val="548DD4" w:themeColor="text2" w:themeTint="99"/>
                <w:sz w:val="24"/>
                <w:szCs w:val="24"/>
                <w:u w:val="single"/>
              </w:rPr>
            </w:pPr>
          </w:p>
          <w:p w14:paraId="00ED2B40" w14:textId="77777777" w:rsidR="006D1128" w:rsidRPr="00A22892" w:rsidRDefault="006D1128" w:rsidP="00836F48">
            <w:pPr>
              <w:spacing w:line="240" w:lineRule="exact"/>
              <w:rPr>
                <w:rFonts w:ascii="Arial Black" w:hAnsi="Arial Black"/>
                <w:color w:val="548DD4" w:themeColor="text2" w:themeTint="99"/>
                <w:sz w:val="10"/>
                <w:szCs w:val="10"/>
                <w:u w:val="single"/>
              </w:rPr>
            </w:pPr>
          </w:p>
        </w:tc>
      </w:tr>
    </w:tbl>
    <w:p w14:paraId="66ED8AC4" w14:textId="77777777" w:rsidR="006D1128" w:rsidRPr="00A22892" w:rsidRDefault="006D1128" w:rsidP="002648FE">
      <w:pPr>
        <w:spacing w:after="0" w:line="240" w:lineRule="auto"/>
        <w:rPr>
          <w:rFonts w:ascii="Arial" w:hAnsi="Arial" w:cs="Arial"/>
          <w:b/>
          <w:color w:val="548DD4" w:themeColor="text2" w:themeTint="99"/>
          <w:sz w:val="16"/>
          <w:szCs w:val="16"/>
          <w:u w:val="single"/>
          <w:lang w:val="fr-FR"/>
        </w:rPr>
      </w:pPr>
    </w:p>
    <w:p w14:paraId="281F62A9" w14:textId="788A9D40" w:rsidR="002648FE" w:rsidRPr="00630298" w:rsidRDefault="00A41CC9" w:rsidP="002648FE">
      <w:pPr>
        <w:spacing w:after="0" w:line="240" w:lineRule="auto"/>
        <w:rPr>
          <w:rFonts w:ascii="Arial" w:hAnsi="Arial" w:cs="Arial"/>
          <w:b/>
          <w:sz w:val="28"/>
          <w:szCs w:val="28"/>
          <w:u w:val="single"/>
          <w:lang w:val="fr-FR"/>
        </w:rPr>
      </w:pPr>
      <w:r>
        <w:rPr>
          <w:rFonts w:ascii="Arial" w:hAnsi="Arial" w:cs="Arial"/>
          <w:b/>
          <w:sz w:val="28"/>
          <w:szCs w:val="28"/>
          <w:u w:val="single"/>
          <w:lang w:val="fr-FR"/>
        </w:rPr>
        <w:t>Embargo jusqu’à midi, le 12 octobre 2017</w:t>
      </w:r>
    </w:p>
    <w:p w14:paraId="5718B7E9" w14:textId="77777777" w:rsidR="002648FE" w:rsidRPr="00630298" w:rsidRDefault="002648FE" w:rsidP="002648FE">
      <w:pPr>
        <w:spacing w:after="0" w:line="240" w:lineRule="auto"/>
        <w:rPr>
          <w:rFonts w:ascii="Arial" w:hAnsi="Arial" w:cs="Arial"/>
          <w:b/>
          <w:sz w:val="28"/>
          <w:szCs w:val="28"/>
          <w:u w:val="single"/>
          <w:lang w:val="fr-FR"/>
        </w:rPr>
      </w:pPr>
    </w:p>
    <w:p w14:paraId="6A5444EA" w14:textId="77777777" w:rsidR="002648FE" w:rsidRPr="00630298" w:rsidRDefault="002648FE" w:rsidP="002648FE">
      <w:pPr>
        <w:spacing w:after="0" w:line="240" w:lineRule="auto"/>
        <w:rPr>
          <w:rFonts w:ascii="Arial" w:hAnsi="Arial" w:cs="Arial"/>
          <w:b/>
          <w:u w:val="single"/>
          <w:lang w:val="fr-FR"/>
        </w:rPr>
      </w:pPr>
    </w:p>
    <w:p w14:paraId="3DE4B04E" w14:textId="5793CE6F" w:rsidR="002648FE" w:rsidRPr="00630298" w:rsidRDefault="005C74FE" w:rsidP="002648FE">
      <w:pPr>
        <w:spacing w:after="0" w:line="240" w:lineRule="auto"/>
        <w:jc w:val="center"/>
        <w:rPr>
          <w:rFonts w:ascii="Arial" w:hAnsi="Arial" w:cs="Arial"/>
          <w:b/>
          <w:i/>
          <w:sz w:val="28"/>
          <w:szCs w:val="28"/>
        </w:rPr>
      </w:pPr>
      <w:r>
        <w:rPr>
          <w:rFonts w:ascii="Arial" w:hAnsi="Arial" w:cs="Arial"/>
          <w:b/>
          <w:i/>
          <w:sz w:val="28"/>
          <w:szCs w:val="28"/>
        </w:rPr>
        <w:t>L</w:t>
      </w:r>
      <w:r w:rsidR="00A41CC9">
        <w:rPr>
          <w:rFonts w:ascii="Arial" w:hAnsi="Arial" w:cs="Arial"/>
          <w:b/>
          <w:i/>
          <w:sz w:val="28"/>
          <w:szCs w:val="28"/>
        </w:rPr>
        <w:t>’école secondaire de Sainte-Luce devient l’École de la mer</w:t>
      </w:r>
    </w:p>
    <w:p w14:paraId="094C7E60" w14:textId="77777777" w:rsidR="002648FE" w:rsidRPr="00630298" w:rsidRDefault="002648FE" w:rsidP="002648FE">
      <w:pPr>
        <w:spacing w:after="0" w:line="240" w:lineRule="auto"/>
        <w:jc w:val="center"/>
        <w:rPr>
          <w:rFonts w:ascii="Arial" w:hAnsi="Arial" w:cs="Arial"/>
          <w:sz w:val="28"/>
          <w:szCs w:val="28"/>
        </w:rPr>
      </w:pPr>
    </w:p>
    <w:p w14:paraId="5698DAC7" w14:textId="77777777" w:rsidR="002648FE" w:rsidRPr="00630298" w:rsidRDefault="002648FE" w:rsidP="002648FE">
      <w:pPr>
        <w:spacing w:after="0" w:line="240" w:lineRule="auto"/>
        <w:jc w:val="center"/>
        <w:rPr>
          <w:rFonts w:ascii="Arial" w:hAnsi="Arial" w:cs="Arial"/>
          <w:sz w:val="24"/>
          <w:szCs w:val="24"/>
        </w:rPr>
      </w:pPr>
    </w:p>
    <w:p w14:paraId="59CEFEF8" w14:textId="7E015742" w:rsidR="00A41CC9" w:rsidRPr="008106F1" w:rsidRDefault="00CF1D21" w:rsidP="00A41CC9">
      <w:pPr>
        <w:spacing w:line="227" w:lineRule="atLeast"/>
        <w:jc w:val="both"/>
        <w:rPr>
          <w:rFonts w:ascii="Arial" w:hAnsi="Arial" w:cs="Arial"/>
          <w:b/>
          <w:bCs/>
          <w:color w:val="000000"/>
          <w:lang w:eastAsia="fr-FR"/>
        </w:rPr>
      </w:pPr>
      <w:r>
        <w:rPr>
          <w:rFonts w:ascii="Arial" w:hAnsi="Arial" w:cs="Arial"/>
          <w:b/>
        </w:rPr>
        <w:t>Sainte-Luce-sur-</w:t>
      </w:r>
      <w:r w:rsidR="00A41CC9">
        <w:rPr>
          <w:rFonts w:ascii="Arial" w:hAnsi="Arial" w:cs="Arial"/>
          <w:b/>
        </w:rPr>
        <w:t>mer, le 12 octobre</w:t>
      </w:r>
      <w:r w:rsidR="002648FE" w:rsidRPr="00630298">
        <w:rPr>
          <w:rFonts w:ascii="Arial" w:hAnsi="Arial" w:cs="Arial"/>
          <w:b/>
        </w:rPr>
        <w:t xml:space="preserve"> 201</w:t>
      </w:r>
      <w:r w:rsidR="000074DD">
        <w:rPr>
          <w:rFonts w:ascii="Arial" w:hAnsi="Arial" w:cs="Arial"/>
          <w:b/>
        </w:rPr>
        <w:t>7</w:t>
      </w:r>
      <w:r w:rsidR="002648FE" w:rsidRPr="00630298">
        <w:rPr>
          <w:rFonts w:ascii="Arial" w:hAnsi="Arial" w:cs="Arial"/>
        </w:rPr>
        <w:t xml:space="preserve"> </w:t>
      </w:r>
      <w:r w:rsidR="002648FE" w:rsidRPr="00630298">
        <w:rPr>
          <w:rFonts w:ascii="Arial" w:hAnsi="Arial" w:cs="Arial"/>
          <w:b/>
        </w:rPr>
        <w:t xml:space="preserve">–  </w:t>
      </w:r>
      <w:r w:rsidR="00470211" w:rsidRPr="00630298">
        <w:rPr>
          <w:rFonts w:ascii="Arial" w:hAnsi="Arial" w:cs="Arial"/>
        </w:rPr>
        <w:t xml:space="preserve"> </w:t>
      </w:r>
      <w:r w:rsidR="00A41CC9" w:rsidRPr="00D67B03">
        <w:rPr>
          <w:rFonts w:ascii="Arial" w:hAnsi="Arial" w:cs="Arial"/>
          <w:b/>
          <w:color w:val="000000"/>
          <w:lang w:eastAsia="fr-FR"/>
        </w:rPr>
        <w:t>Les élèves de l’école secondaire de Sainte-Luce plongeront dans l’univers de la mer grâce à un programme éducatif hors du commun.</w:t>
      </w:r>
    </w:p>
    <w:p w14:paraId="3F3B0E9C" w14:textId="279E3288" w:rsidR="00A41CC9" w:rsidRPr="008106F1" w:rsidRDefault="00142DED" w:rsidP="00A41CC9">
      <w:pPr>
        <w:spacing w:line="227" w:lineRule="atLeast"/>
        <w:jc w:val="both"/>
        <w:rPr>
          <w:rFonts w:ascii="Arial" w:hAnsi="Arial" w:cs="Arial"/>
          <w:color w:val="000000"/>
          <w:lang w:eastAsia="fr-FR"/>
        </w:rPr>
      </w:pPr>
      <w:r>
        <w:rPr>
          <w:rFonts w:ascii="Arial" w:hAnsi="Arial" w:cs="Arial"/>
          <w:color w:val="000000"/>
          <w:lang w:eastAsia="fr-FR"/>
        </w:rPr>
        <w:t>C’est aujourd’hui que sera dévoilé</w:t>
      </w:r>
      <w:r w:rsidR="00A41CC9" w:rsidRPr="008106F1">
        <w:rPr>
          <w:rFonts w:ascii="Arial" w:hAnsi="Arial" w:cs="Arial"/>
          <w:color w:val="000000"/>
          <w:lang w:eastAsia="fr-FR"/>
        </w:rPr>
        <w:t xml:space="preserve"> le programme </w:t>
      </w:r>
      <w:r w:rsidR="00FB0E7D">
        <w:rPr>
          <w:rFonts w:ascii="Arial" w:hAnsi="Arial" w:cs="Arial"/>
          <w:color w:val="000000"/>
          <w:lang w:eastAsia="fr-FR"/>
        </w:rPr>
        <w:t xml:space="preserve">ÉCOLE DE LA MER aux élèves </w:t>
      </w:r>
      <w:proofErr w:type="gramStart"/>
      <w:r w:rsidR="00FB0E7D">
        <w:rPr>
          <w:rFonts w:ascii="Arial" w:hAnsi="Arial" w:cs="Arial"/>
          <w:color w:val="000000"/>
          <w:lang w:eastAsia="fr-FR"/>
        </w:rPr>
        <w:t xml:space="preserve">des </w:t>
      </w:r>
      <w:r w:rsidR="00A41CC9" w:rsidRPr="008106F1">
        <w:rPr>
          <w:rFonts w:ascii="Arial" w:hAnsi="Arial" w:cs="Arial"/>
          <w:color w:val="000000"/>
          <w:lang w:eastAsia="fr-FR"/>
        </w:rPr>
        <w:t>première et deuxième secondaire</w:t>
      </w:r>
      <w:r w:rsidR="00FB0E7D">
        <w:rPr>
          <w:rFonts w:ascii="Arial" w:hAnsi="Arial" w:cs="Arial"/>
          <w:color w:val="000000"/>
          <w:lang w:eastAsia="fr-FR"/>
        </w:rPr>
        <w:t>s</w:t>
      </w:r>
      <w:proofErr w:type="gramEnd"/>
      <w:r w:rsidR="00A41CC9" w:rsidRPr="008106F1">
        <w:rPr>
          <w:rFonts w:ascii="Arial" w:hAnsi="Arial" w:cs="Arial"/>
          <w:color w:val="000000"/>
          <w:lang w:eastAsia="fr-FR"/>
        </w:rPr>
        <w:t xml:space="preserve"> de Sainte-Luce, un projet initié </w:t>
      </w:r>
      <w:r w:rsidR="00A41CC9" w:rsidRPr="008106F1">
        <w:rPr>
          <w:rFonts w:ascii="Arial" w:hAnsi="Arial" w:cs="Arial"/>
          <w:lang w:eastAsia="fr-FR"/>
        </w:rPr>
        <w:t xml:space="preserve">par un comité </w:t>
      </w:r>
      <w:r w:rsidR="00A41CC9" w:rsidRPr="008106F1">
        <w:rPr>
          <w:rFonts w:ascii="Arial" w:hAnsi="Arial" w:cs="Arial"/>
          <w:color w:val="000000"/>
          <w:lang w:eastAsia="fr-FR"/>
        </w:rPr>
        <w:t>de parents et développé par M – Expertise Marine avec toute l’équipe école.</w:t>
      </w:r>
    </w:p>
    <w:p w14:paraId="080409FE" w14:textId="62E5F011" w:rsidR="00A41CC9" w:rsidRPr="008106F1" w:rsidRDefault="00A41CC9" w:rsidP="00A41CC9">
      <w:pPr>
        <w:spacing w:line="227" w:lineRule="atLeast"/>
        <w:jc w:val="both"/>
        <w:rPr>
          <w:rFonts w:ascii="Arial" w:hAnsi="Arial" w:cs="Arial"/>
          <w:b/>
          <w:i/>
          <w:color w:val="000000"/>
          <w:lang w:eastAsia="fr-FR"/>
        </w:rPr>
      </w:pPr>
      <w:r w:rsidRPr="008106F1">
        <w:rPr>
          <w:rFonts w:ascii="Arial" w:hAnsi="Arial" w:cs="Arial"/>
          <w:b/>
          <w:i/>
          <w:color w:val="000000"/>
          <w:lang w:eastAsia="fr-FR"/>
        </w:rPr>
        <w:t>Enseignement nouveau genre</w:t>
      </w:r>
    </w:p>
    <w:p w14:paraId="1DFFF86B" w14:textId="0DF1A0DA" w:rsidR="00A41CC9" w:rsidRPr="008106F1" w:rsidRDefault="00A41CC9" w:rsidP="00A41CC9">
      <w:pPr>
        <w:spacing w:line="227" w:lineRule="atLeast"/>
        <w:jc w:val="both"/>
        <w:rPr>
          <w:rFonts w:ascii="Arial" w:hAnsi="Arial" w:cs="Arial"/>
          <w:color w:val="000000"/>
          <w:lang w:eastAsia="fr-FR"/>
        </w:rPr>
      </w:pPr>
      <w:r w:rsidRPr="008106F1">
        <w:rPr>
          <w:rFonts w:ascii="Arial" w:hAnsi="Arial" w:cs="Arial"/>
          <w:color w:val="000000"/>
          <w:lang w:eastAsia="fr-FR"/>
        </w:rPr>
        <w:t>« Nous allons faire des mathématiques, du français, de la géographie, et</w:t>
      </w:r>
      <w:r w:rsidR="00D67B03">
        <w:rPr>
          <w:rFonts w:ascii="Arial" w:hAnsi="Arial" w:cs="Arial"/>
          <w:color w:val="000000"/>
          <w:lang w:eastAsia="fr-FR"/>
        </w:rPr>
        <w:t xml:space="preserve"> toutes les autres matières empreintes</w:t>
      </w:r>
      <w:r w:rsidRPr="008106F1">
        <w:rPr>
          <w:rFonts w:ascii="Arial" w:hAnsi="Arial" w:cs="Arial"/>
          <w:color w:val="000000"/>
          <w:lang w:eastAsia="fr-FR"/>
        </w:rPr>
        <w:t xml:space="preserve"> </w:t>
      </w:r>
      <w:r w:rsidR="00D67B03">
        <w:rPr>
          <w:rFonts w:ascii="Arial" w:hAnsi="Arial" w:cs="Arial"/>
          <w:color w:val="000000"/>
          <w:lang w:eastAsia="fr-FR"/>
        </w:rPr>
        <w:t>d’</w:t>
      </w:r>
      <w:r w:rsidRPr="008106F1">
        <w:rPr>
          <w:rFonts w:ascii="Arial" w:hAnsi="Arial" w:cs="Arial"/>
          <w:color w:val="000000"/>
          <w:lang w:eastAsia="fr-FR"/>
        </w:rPr>
        <w:t>une teinte maritime » mentionne la biologiste et coordonnatrice du programme Lyne Morissette. « Tous les enseignants sont impliqués dans le développement du concept et adapteront leurs matières respectives à des thématiques maritimes. »</w:t>
      </w:r>
    </w:p>
    <w:p w14:paraId="499AFF76" w14:textId="67EE837B" w:rsidR="00A41CC9" w:rsidRPr="008106F1" w:rsidRDefault="00D67B03" w:rsidP="00A41CC9">
      <w:pPr>
        <w:spacing w:line="227" w:lineRule="atLeast"/>
        <w:jc w:val="both"/>
        <w:rPr>
          <w:rFonts w:ascii="Arial" w:hAnsi="Arial" w:cs="Arial"/>
          <w:color w:val="000000"/>
          <w:lang w:eastAsia="fr-FR"/>
        </w:rPr>
      </w:pPr>
      <w:r>
        <w:rPr>
          <w:rFonts w:ascii="Arial" w:hAnsi="Arial" w:cs="Arial"/>
          <w:color w:val="000000"/>
          <w:lang w:eastAsia="fr-FR"/>
        </w:rPr>
        <w:t>L’établissement</w:t>
      </w:r>
      <w:r w:rsidR="00A41CC9" w:rsidRPr="008106F1">
        <w:rPr>
          <w:rFonts w:ascii="Arial" w:hAnsi="Arial" w:cs="Arial"/>
          <w:color w:val="000000"/>
          <w:lang w:eastAsia="fr-FR"/>
        </w:rPr>
        <w:t xml:space="preserve"> trouve ainsi un créneau d’enseignement unique. « L’école fait partie de la communauté ici à Sainte-Luce, et nous espérons par ce projet créer une éventuelle plateforme d’activités qui relie les élèves avec le reste de la population. Nous avons un bassin d’experts de la mer à portée de main, des parents créatifs, des ainés dynamiques, des bateaux, des pêcheurs, des scientifiques, des conteurs… En mettant tout ce beau monde ensemble, on réussit à faire un projet grandiose » explique la directrice de l’école, madame Patricia Côté.</w:t>
      </w:r>
    </w:p>
    <w:p w14:paraId="74EC2CE0" w14:textId="486F3898" w:rsidR="00A41CC9" w:rsidRPr="008106F1" w:rsidRDefault="00FB0E7D" w:rsidP="00A41CC9">
      <w:pPr>
        <w:spacing w:line="227" w:lineRule="atLeast"/>
        <w:jc w:val="both"/>
        <w:rPr>
          <w:rFonts w:ascii="Arial" w:hAnsi="Arial" w:cs="Arial"/>
          <w:color w:val="000000"/>
          <w:lang w:eastAsia="fr-FR"/>
        </w:rPr>
      </w:pPr>
      <w:r>
        <w:rPr>
          <w:rFonts w:ascii="Arial" w:hAnsi="Arial" w:cs="Arial"/>
          <w:color w:val="000000"/>
          <w:lang w:eastAsia="fr-FR"/>
        </w:rPr>
        <w:t>Le projet École de la m</w:t>
      </w:r>
      <w:r w:rsidR="00A41CC9" w:rsidRPr="008106F1">
        <w:rPr>
          <w:rFonts w:ascii="Arial" w:hAnsi="Arial" w:cs="Arial"/>
          <w:color w:val="000000"/>
          <w:lang w:eastAsia="fr-FR"/>
        </w:rPr>
        <w:t>er s’intègre dans un réseau pancanadien d’écoles de ce genre, de Halifax à Vancouver, qui vise à sensibiliser les jeunes à l’importance des océans. L’école de Sainte-Luce est la première au Québec à offrir ce programme à ses élèves. « C’est formidable de constater la vision et la créati</w:t>
      </w:r>
      <w:r>
        <w:rPr>
          <w:rFonts w:ascii="Arial" w:hAnsi="Arial" w:cs="Arial"/>
          <w:color w:val="000000"/>
          <w:lang w:eastAsia="fr-FR"/>
        </w:rPr>
        <w:t xml:space="preserve">vité de l’équipe de Sainte-Luce, autant les </w:t>
      </w:r>
      <w:r w:rsidR="00A41CC9" w:rsidRPr="008106F1">
        <w:rPr>
          <w:rFonts w:ascii="Arial" w:hAnsi="Arial" w:cs="Arial"/>
          <w:color w:val="000000"/>
          <w:lang w:eastAsia="fr-FR"/>
        </w:rPr>
        <w:t xml:space="preserve">parents, </w:t>
      </w:r>
      <w:r>
        <w:rPr>
          <w:rFonts w:ascii="Arial" w:hAnsi="Arial" w:cs="Arial"/>
          <w:color w:val="000000"/>
          <w:lang w:eastAsia="fr-FR"/>
        </w:rPr>
        <w:t>les enseignants que la direction. T</w:t>
      </w:r>
      <w:r w:rsidR="00A41CC9" w:rsidRPr="008106F1">
        <w:rPr>
          <w:rFonts w:ascii="Arial" w:hAnsi="Arial" w:cs="Arial"/>
          <w:color w:val="000000"/>
          <w:lang w:eastAsia="fr-FR"/>
        </w:rPr>
        <w:t xml:space="preserve">out le monde est enthousiaste! C’est différent, rafraichissant, et important. Nous sommes </w:t>
      </w:r>
      <w:r>
        <w:rPr>
          <w:rFonts w:ascii="Arial" w:hAnsi="Arial" w:cs="Arial"/>
          <w:color w:val="000000"/>
          <w:lang w:eastAsia="fr-FR"/>
        </w:rPr>
        <w:t>en milieu maritime, nous avons trois</w:t>
      </w:r>
      <w:r w:rsidR="00A41CC9" w:rsidRPr="008106F1">
        <w:rPr>
          <w:rFonts w:ascii="Arial" w:hAnsi="Arial" w:cs="Arial"/>
          <w:color w:val="000000"/>
          <w:lang w:eastAsia="fr-FR"/>
        </w:rPr>
        <w:t xml:space="preserve"> océans, la plus longue côte au monde, la mer fait partie de notre vie. Le Saint-Laurent est littéralement dans la cour d’école! Et c’est en faisant les choses différemment qu’on a un réel impact sur sa conservation » rajoute Mme Morissette.</w:t>
      </w:r>
    </w:p>
    <w:p w14:paraId="6050919A" w14:textId="0A7CED50" w:rsidR="00A41CC9" w:rsidRPr="003343E5" w:rsidRDefault="00A41CC9" w:rsidP="00142DED">
      <w:pPr>
        <w:spacing w:line="240" w:lineRule="auto"/>
        <w:jc w:val="both"/>
      </w:pPr>
      <w:r w:rsidRPr="008106F1">
        <w:rPr>
          <w:rFonts w:ascii="Arial" w:hAnsi="Arial" w:cs="Arial"/>
          <w:color w:val="000000"/>
          <w:lang w:eastAsia="fr-FR"/>
        </w:rPr>
        <w:t>Les élèves auront aujourd’hui la surprise du dévo</w:t>
      </w:r>
      <w:r w:rsidR="00FB0E7D">
        <w:rPr>
          <w:rFonts w:ascii="Arial" w:hAnsi="Arial" w:cs="Arial"/>
          <w:color w:val="000000"/>
          <w:lang w:eastAsia="fr-FR"/>
        </w:rPr>
        <w:t>ilement de ce programme et des neuf</w:t>
      </w:r>
      <w:r w:rsidRPr="008106F1">
        <w:rPr>
          <w:rFonts w:ascii="Arial" w:hAnsi="Arial" w:cs="Arial"/>
          <w:color w:val="000000"/>
          <w:lang w:eastAsia="fr-FR"/>
        </w:rPr>
        <w:t xml:space="preserve"> thématiques marine</w:t>
      </w:r>
      <w:r w:rsidR="003343E5">
        <w:rPr>
          <w:rFonts w:ascii="Arial" w:hAnsi="Arial" w:cs="Arial"/>
          <w:color w:val="000000"/>
          <w:lang w:eastAsia="fr-FR"/>
        </w:rPr>
        <w:t>s et</w:t>
      </w:r>
      <w:r w:rsidRPr="008106F1">
        <w:rPr>
          <w:rFonts w:ascii="Arial" w:hAnsi="Arial" w:cs="Arial"/>
          <w:color w:val="000000"/>
          <w:lang w:eastAsia="fr-FR"/>
        </w:rPr>
        <w:t xml:space="preserve"> régionales qui seront couvertes au cours de l’année, à raison d’une par mois : on abordera entre autres les pêcheries, les épaves, la plongée, les tempêtes, et la pollution</w:t>
      </w:r>
      <w:r w:rsidR="003343E5">
        <w:rPr>
          <w:rFonts w:ascii="Arial" w:hAnsi="Arial" w:cs="Arial"/>
          <w:color w:val="000000"/>
          <w:lang w:eastAsia="fr-FR"/>
        </w:rPr>
        <w:t xml:space="preserve">. </w:t>
      </w:r>
      <w:r w:rsidR="00142DED">
        <w:rPr>
          <w:rFonts w:ascii="Arial" w:hAnsi="Arial" w:cs="Arial"/>
          <w:color w:val="000000"/>
          <w:lang w:eastAsia="fr-FR"/>
        </w:rPr>
        <w:t xml:space="preserve">Voici le </w:t>
      </w:r>
      <w:r w:rsidRPr="008106F1">
        <w:rPr>
          <w:rFonts w:ascii="Arial" w:hAnsi="Arial" w:cs="Arial"/>
          <w:color w:val="000000"/>
          <w:lang w:eastAsia="fr-FR"/>
        </w:rPr>
        <w:t>lien vers la vidéo :</w:t>
      </w:r>
      <w:r w:rsidR="003343E5" w:rsidRPr="003343E5">
        <w:rPr>
          <w:rFonts w:ascii="Times New Roman" w:hAnsi="Times New Roman" w:cs="Times New Roman"/>
          <w:sz w:val="24"/>
          <w:szCs w:val="24"/>
          <w:lang w:eastAsia="fr-CA"/>
        </w:rPr>
        <w:t xml:space="preserve"> </w:t>
      </w:r>
      <w:hyperlink r:id="rId6" w:history="1">
        <w:r w:rsidR="00611093">
          <w:rPr>
            <w:rStyle w:val="Lienhypertexte"/>
            <w:rFonts w:eastAsia="Times New Roman"/>
          </w:rPr>
          <w:t>https://youtu.be/K8cpzp3B4t8</w:t>
        </w:r>
      </w:hyperlink>
      <w:r w:rsidR="00611093">
        <w:rPr>
          <w:rFonts w:eastAsia="Times New Roman"/>
        </w:rPr>
        <w:t xml:space="preserve"> </w:t>
      </w:r>
      <w:r w:rsidRPr="008106F1">
        <w:rPr>
          <w:rFonts w:ascii="Arial" w:hAnsi="Arial" w:cs="Arial"/>
          <w:color w:val="000000"/>
          <w:lang w:eastAsia="fr-FR"/>
        </w:rPr>
        <w:t>Ce sera ensuite en collaboration avec l’équipe école et la communauté que les notions enseignées à l’école arboreront une saveur maritime, que ce soit par des é</w:t>
      </w:r>
      <w:r w:rsidR="00FB0E7D">
        <w:rPr>
          <w:rFonts w:ascii="Arial" w:hAnsi="Arial" w:cs="Arial"/>
          <w:color w:val="000000"/>
          <w:lang w:eastAsia="fr-FR"/>
        </w:rPr>
        <w:t>changes avec des écoles de la m</w:t>
      </w:r>
      <w:r w:rsidRPr="008106F1">
        <w:rPr>
          <w:rFonts w:ascii="Arial" w:hAnsi="Arial" w:cs="Arial"/>
          <w:color w:val="000000"/>
          <w:lang w:eastAsia="fr-FR"/>
        </w:rPr>
        <w:t>er anglophones pour l’anglais, des cours de plongée en éducation physique, des contes et légendes de la mer en français ou des ateliers scientifiques sur les enjeux environnementaux.</w:t>
      </w:r>
    </w:p>
    <w:p w14:paraId="797A8F49" w14:textId="5FE78D5B" w:rsidR="002648FE" w:rsidRPr="00630298" w:rsidRDefault="009B6239" w:rsidP="00470211">
      <w:pPr>
        <w:spacing w:before="240" w:line="240" w:lineRule="auto"/>
        <w:jc w:val="both"/>
        <w:rPr>
          <w:rFonts w:ascii="Arial" w:eastAsia="Times New Roman" w:hAnsi="Arial" w:cs="Arial"/>
        </w:rPr>
      </w:pPr>
      <w:r>
        <w:rPr>
          <w:rFonts w:ascii="Arial" w:hAnsi="Arial" w:cs="Arial"/>
          <w:color w:val="000000"/>
          <w:lang w:eastAsia="fr-FR"/>
        </w:rPr>
        <w:lastRenderedPageBreak/>
        <w:t xml:space="preserve">« La Commission scolaire des Phares est fière </w:t>
      </w:r>
      <w:r w:rsidR="0035646B">
        <w:rPr>
          <w:rFonts w:ascii="Arial" w:hAnsi="Arial" w:cs="Arial"/>
          <w:color w:val="000000"/>
          <w:lang w:eastAsia="fr-FR"/>
        </w:rPr>
        <w:t xml:space="preserve">de participer à ce </w:t>
      </w:r>
      <w:r>
        <w:rPr>
          <w:rFonts w:ascii="Arial" w:hAnsi="Arial" w:cs="Arial"/>
          <w:color w:val="000000"/>
          <w:lang w:eastAsia="fr-FR"/>
        </w:rPr>
        <w:t>projet</w:t>
      </w:r>
      <w:r w:rsidR="0035646B">
        <w:rPr>
          <w:rFonts w:ascii="Arial" w:hAnsi="Arial" w:cs="Arial"/>
          <w:color w:val="000000"/>
          <w:lang w:eastAsia="fr-FR"/>
        </w:rPr>
        <w:t xml:space="preserve"> unique</w:t>
      </w:r>
      <w:r>
        <w:rPr>
          <w:rFonts w:ascii="Arial" w:hAnsi="Arial" w:cs="Arial"/>
          <w:color w:val="000000"/>
          <w:lang w:eastAsia="fr-FR"/>
        </w:rPr>
        <w:t xml:space="preserve"> </w:t>
      </w:r>
      <w:r w:rsidR="0035646B">
        <w:rPr>
          <w:rFonts w:ascii="Arial" w:hAnsi="Arial" w:cs="Arial"/>
          <w:color w:val="000000"/>
          <w:lang w:eastAsia="fr-FR"/>
        </w:rPr>
        <w:t>portant</w:t>
      </w:r>
      <w:r>
        <w:rPr>
          <w:rFonts w:ascii="Arial" w:hAnsi="Arial" w:cs="Arial"/>
          <w:color w:val="000000"/>
          <w:lang w:eastAsia="fr-FR"/>
        </w:rPr>
        <w:t xml:space="preserve"> une thématique si proche de sa région et de son territoire. </w:t>
      </w:r>
      <w:r w:rsidR="00097D58">
        <w:rPr>
          <w:rFonts w:ascii="Arial" w:hAnsi="Arial" w:cs="Arial"/>
          <w:color w:val="000000"/>
          <w:lang w:eastAsia="fr-FR"/>
        </w:rPr>
        <w:t xml:space="preserve">Les jeunes </w:t>
      </w:r>
      <w:r>
        <w:rPr>
          <w:rFonts w:ascii="Arial" w:hAnsi="Arial" w:cs="Arial"/>
          <w:color w:val="000000"/>
          <w:lang w:eastAsia="fr-FR"/>
        </w:rPr>
        <w:t>bénéficier</w:t>
      </w:r>
      <w:r w:rsidR="00097D58">
        <w:rPr>
          <w:rFonts w:ascii="Arial" w:hAnsi="Arial" w:cs="Arial"/>
          <w:color w:val="000000"/>
          <w:lang w:eastAsia="fr-FR"/>
        </w:rPr>
        <w:t>ont certainement</w:t>
      </w:r>
      <w:r>
        <w:rPr>
          <w:rFonts w:ascii="Arial" w:hAnsi="Arial" w:cs="Arial"/>
          <w:color w:val="000000"/>
          <w:lang w:eastAsia="fr-FR"/>
        </w:rPr>
        <w:t xml:space="preserve"> de ces apprentissages maritimes, transmis sous divers aspects</w:t>
      </w:r>
      <w:r w:rsidR="00FB0E7D">
        <w:rPr>
          <w:rFonts w:ascii="Arial" w:hAnsi="Arial" w:cs="Arial"/>
          <w:color w:val="000000"/>
          <w:lang w:eastAsia="fr-FR"/>
        </w:rPr>
        <w:t>,</w:t>
      </w:r>
      <w:r>
        <w:rPr>
          <w:rFonts w:ascii="Arial" w:hAnsi="Arial" w:cs="Arial"/>
          <w:color w:val="000000"/>
          <w:lang w:eastAsia="fr-FR"/>
        </w:rPr>
        <w:t xml:space="preserve"> et </w:t>
      </w:r>
      <w:r w:rsidR="0037165B">
        <w:rPr>
          <w:rFonts w:ascii="Arial" w:hAnsi="Arial" w:cs="Arial"/>
          <w:color w:val="000000"/>
          <w:lang w:eastAsia="fr-FR"/>
        </w:rPr>
        <w:t>ce, par l’entremise de</w:t>
      </w:r>
      <w:r>
        <w:rPr>
          <w:rFonts w:ascii="Arial" w:hAnsi="Arial" w:cs="Arial"/>
          <w:color w:val="000000"/>
          <w:lang w:eastAsia="fr-FR"/>
        </w:rPr>
        <w:t xml:space="preserve"> </w:t>
      </w:r>
      <w:r w:rsidR="0037165B">
        <w:rPr>
          <w:rFonts w:ascii="Arial" w:hAnsi="Arial" w:cs="Arial"/>
          <w:color w:val="000000"/>
          <w:lang w:eastAsia="fr-FR"/>
        </w:rPr>
        <w:t xml:space="preserve">différentes </w:t>
      </w:r>
      <w:r>
        <w:rPr>
          <w:rFonts w:ascii="Arial" w:hAnsi="Arial" w:cs="Arial"/>
          <w:color w:val="000000"/>
          <w:lang w:eastAsia="fr-FR"/>
        </w:rPr>
        <w:t>matières. Nous reconnaissons d’ailleurs tout le travail e</w:t>
      </w:r>
      <w:r w:rsidR="008607C6">
        <w:rPr>
          <w:rFonts w:ascii="Arial" w:hAnsi="Arial" w:cs="Arial"/>
          <w:color w:val="000000"/>
          <w:lang w:eastAsia="fr-FR"/>
        </w:rPr>
        <w:t>ffectué par notre équipe-école de Sainte-Luce, d</w:t>
      </w:r>
      <w:r>
        <w:rPr>
          <w:rFonts w:ascii="Arial" w:hAnsi="Arial" w:cs="Arial"/>
          <w:color w:val="000000"/>
          <w:lang w:eastAsia="fr-FR"/>
        </w:rPr>
        <w:t xml:space="preserve">es parents </w:t>
      </w:r>
      <w:r w:rsidR="008607C6">
        <w:rPr>
          <w:rFonts w:ascii="Arial" w:hAnsi="Arial" w:cs="Arial"/>
          <w:color w:val="000000"/>
          <w:lang w:eastAsia="fr-FR"/>
        </w:rPr>
        <w:t>et d</w:t>
      </w:r>
      <w:r>
        <w:rPr>
          <w:rFonts w:ascii="Arial" w:hAnsi="Arial" w:cs="Arial"/>
          <w:color w:val="000000"/>
          <w:lang w:eastAsia="fr-FR"/>
        </w:rPr>
        <w:t>es experts impliqués »</w:t>
      </w:r>
      <w:r w:rsidR="00FB0E7D">
        <w:rPr>
          <w:rFonts w:ascii="Arial" w:hAnsi="Arial" w:cs="Arial"/>
          <w:color w:val="000000"/>
          <w:lang w:eastAsia="fr-FR"/>
        </w:rPr>
        <w:t xml:space="preserve"> tient à souligner la d</w:t>
      </w:r>
      <w:r>
        <w:rPr>
          <w:rFonts w:ascii="Arial" w:hAnsi="Arial" w:cs="Arial"/>
          <w:color w:val="000000"/>
          <w:lang w:eastAsia="fr-FR"/>
        </w:rPr>
        <w:t xml:space="preserve">irectrice </w:t>
      </w:r>
      <w:r w:rsidR="00FB0E7D">
        <w:rPr>
          <w:rFonts w:ascii="Arial" w:hAnsi="Arial" w:cs="Arial"/>
          <w:color w:val="000000"/>
          <w:lang w:eastAsia="fr-FR"/>
        </w:rPr>
        <w:t xml:space="preserve">générale </w:t>
      </w:r>
      <w:r>
        <w:rPr>
          <w:rFonts w:ascii="Arial" w:hAnsi="Arial" w:cs="Arial"/>
          <w:color w:val="000000"/>
          <w:lang w:eastAsia="fr-FR"/>
        </w:rPr>
        <w:t>de la Commission scolaire des Phares, Mme Madeleine Dugas.</w:t>
      </w:r>
    </w:p>
    <w:p w14:paraId="6DD7E9DD" w14:textId="77777777" w:rsidR="002648FE" w:rsidRPr="00630298" w:rsidRDefault="002648FE" w:rsidP="00470211">
      <w:pPr>
        <w:spacing w:line="240" w:lineRule="auto"/>
        <w:jc w:val="center"/>
        <w:rPr>
          <w:rFonts w:ascii="Arial" w:hAnsi="Arial" w:cs="Arial"/>
        </w:rPr>
      </w:pPr>
      <w:r w:rsidRPr="00630298">
        <w:rPr>
          <w:rFonts w:ascii="Arial" w:hAnsi="Arial" w:cs="Arial"/>
        </w:rPr>
        <w:t>-</w:t>
      </w:r>
      <w:r w:rsidR="002A0FBF">
        <w:rPr>
          <w:rFonts w:ascii="Arial" w:hAnsi="Arial" w:cs="Arial"/>
        </w:rPr>
        <w:t> </w:t>
      </w:r>
      <w:r w:rsidRPr="00630298">
        <w:rPr>
          <w:rFonts w:ascii="Arial" w:hAnsi="Arial" w:cs="Arial"/>
        </w:rPr>
        <w:t>30</w:t>
      </w:r>
      <w:r w:rsidR="002A0FBF">
        <w:rPr>
          <w:rFonts w:ascii="Arial" w:hAnsi="Arial" w:cs="Arial"/>
        </w:rPr>
        <w:t> </w:t>
      </w:r>
      <w:r w:rsidRPr="00630298">
        <w:rPr>
          <w:rFonts w:ascii="Arial" w:hAnsi="Arial" w:cs="Arial"/>
        </w:rPr>
        <w:t>-</w:t>
      </w:r>
    </w:p>
    <w:p w14:paraId="4E0DB91B" w14:textId="64CDB3DD" w:rsidR="002648FE" w:rsidRPr="00630298" w:rsidRDefault="002648FE" w:rsidP="002648FE">
      <w:pPr>
        <w:tabs>
          <w:tab w:val="left" w:pos="1418"/>
          <w:tab w:val="left" w:pos="4820"/>
        </w:tabs>
        <w:jc w:val="both"/>
        <w:rPr>
          <w:rFonts w:ascii="Arial" w:hAnsi="Arial" w:cs="Arial"/>
        </w:rPr>
      </w:pPr>
    </w:p>
    <w:p w14:paraId="7F833099" w14:textId="3A3F9568" w:rsidR="002648FE" w:rsidRPr="00630298" w:rsidRDefault="002648FE" w:rsidP="00630298">
      <w:pPr>
        <w:tabs>
          <w:tab w:val="left" w:pos="1418"/>
          <w:tab w:val="left" w:pos="4820"/>
        </w:tabs>
        <w:spacing w:after="0"/>
        <w:jc w:val="both"/>
        <w:rPr>
          <w:rFonts w:ascii="Arial" w:hAnsi="Arial" w:cs="Arial"/>
        </w:rPr>
      </w:pPr>
      <w:r w:rsidRPr="00630298">
        <w:rPr>
          <w:rFonts w:ascii="Arial" w:hAnsi="Arial" w:cs="Arial"/>
        </w:rPr>
        <w:t>Source</w:t>
      </w:r>
      <w:r w:rsidR="00A41CC9">
        <w:rPr>
          <w:rFonts w:ascii="Arial" w:hAnsi="Arial" w:cs="Arial"/>
        </w:rPr>
        <w:t> :</w:t>
      </w:r>
      <w:r w:rsidR="00A41CC9">
        <w:rPr>
          <w:rFonts w:ascii="Arial" w:hAnsi="Arial" w:cs="Arial"/>
        </w:rPr>
        <w:tab/>
        <w:t>Patricia, Côté</w:t>
      </w:r>
      <w:r w:rsidR="007B2D34">
        <w:rPr>
          <w:rFonts w:ascii="Arial" w:hAnsi="Arial" w:cs="Arial"/>
        </w:rPr>
        <w:t xml:space="preserve">, </w:t>
      </w:r>
      <w:r w:rsidR="00A41CC9">
        <w:rPr>
          <w:rFonts w:ascii="Arial" w:hAnsi="Arial" w:cs="Arial"/>
        </w:rPr>
        <w:t>Directrice de l’École de Sainte-Luce</w:t>
      </w:r>
    </w:p>
    <w:p w14:paraId="66EC5E15" w14:textId="77777777" w:rsidR="002A0FBF" w:rsidRPr="00630298" w:rsidRDefault="002A0FBF" w:rsidP="00630298">
      <w:pPr>
        <w:tabs>
          <w:tab w:val="left" w:pos="1418"/>
          <w:tab w:val="left" w:pos="4820"/>
        </w:tabs>
        <w:spacing w:after="0"/>
        <w:jc w:val="both"/>
        <w:rPr>
          <w:rFonts w:ascii="Arial" w:hAnsi="Arial" w:cs="Arial"/>
        </w:rPr>
      </w:pPr>
      <w:r w:rsidRPr="00630298">
        <w:rPr>
          <w:rFonts w:ascii="Arial" w:hAnsi="Arial" w:cs="Arial"/>
        </w:rPr>
        <w:tab/>
        <w:t>Commission scolaire des Phares</w:t>
      </w:r>
    </w:p>
    <w:p w14:paraId="14E23940" w14:textId="6797D721" w:rsidR="002A0FBF" w:rsidRDefault="007B2D34" w:rsidP="00630298">
      <w:pPr>
        <w:tabs>
          <w:tab w:val="left" w:pos="1418"/>
          <w:tab w:val="left" w:pos="4820"/>
        </w:tabs>
        <w:spacing w:after="0"/>
        <w:jc w:val="both"/>
        <w:rPr>
          <w:rFonts w:ascii="Arial" w:hAnsi="Arial" w:cs="Arial"/>
        </w:rPr>
      </w:pPr>
      <w:r>
        <w:rPr>
          <w:rFonts w:ascii="Arial" w:hAnsi="Arial" w:cs="Arial"/>
        </w:rPr>
        <w:tab/>
      </w:r>
      <w:r w:rsidR="000F4E48">
        <w:rPr>
          <w:rFonts w:ascii="Arial" w:hAnsi="Arial" w:cs="Arial"/>
        </w:rPr>
        <w:t>(418) 739-4844</w:t>
      </w:r>
    </w:p>
    <w:p w14:paraId="05B78BBD" w14:textId="6D788283" w:rsidR="00A41CC9" w:rsidRDefault="00A41CC9" w:rsidP="00630298">
      <w:pPr>
        <w:tabs>
          <w:tab w:val="left" w:pos="1418"/>
          <w:tab w:val="left" w:pos="4820"/>
        </w:tabs>
        <w:spacing w:after="0"/>
        <w:jc w:val="both"/>
        <w:rPr>
          <w:rFonts w:ascii="Arial" w:hAnsi="Arial" w:cs="Arial"/>
        </w:rPr>
      </w:pPr>
    </w:p>
    <w:p w14:paraId="711E74DD" w14:textId="450E04CE" w:rsidR="00A41CC9" w:rsidRPr="00630298" w:rsidRDefault="00A41CC9" w:rsidP="00B01663">
      <w:pPr>
        <w:tabs>
          <w:tab w:val="left" w:pos="1418"/>
          <w:tab w:val="left" w:pos="4820"/>
        </w:tabs>
        <w:spacing w:after="0"/>
        <w:jc w:val="both"/>
        <w:rPr>
          <w:rFonts w:ascii="Arial" w:hAnsi="Arial" w:cs="Arial"/>
        </w:rPr>
      </w:pPr>
      <w:r w:rsidRPr="00630298">
        <w:rPr>
          <w:rFonts w:ascii="Arial" w:hAnsi="Arial" w:cs="Arial"/>
        </w:rPr>
        <w:t>Source</w:t>
      </w:r>
      <w:r>
        <w:rPr>
          <w:rFonts w:ascii="Arial" w:hAnsi="Arial" w:cs="Arial"/>
        </w:rPr>
        <w:t> :</w:t>
      </w:r>
      <w:r>
        <w:rPr>
          <w:rFonts w:ascii="Arial" w:hAnsi="Arial" w:cs="Arial"/>
        </w:rPr>
        <w:tab/>
        <w:t>Lyne, Mori</w:t>
      </w:r>
      <w:r w:rsidR="005435AF">
        <w:rPr>
          <w:rFonts w:ascii="Arial" w:hAnsi="Arial" w:cs="Arial"/>
        </w:rPr>
        <w:t>s</w:t>
      </w:r>
      <w:r>
        <w:rPr>
          <w:rFonts w:ascii="Arial" w:hAnsi="Arial" w:cs="Arial"/>
        </w:rPr>
        <w:t xml:space="preserve">sette, </w:t>
      </w:r>
    </w:p>
    <w:p w14:paraId="15E921B0" w14:textId="77777777" w:rsidR="00B01663" w:rsidRDefault="00A41CC9" w:rsidP="00B01663">
      <w:pPr>
        <w:tabs>
          <w:tab w:val="left" w:pos="1418"/>
          <w:tab w:val="left" w:pos="4820"/>
        </w:tabs>
        <w:spacing w:after="0"/>
        <w:jc w:val="both"/>
        <w:rPr>
          <w:rFonts w:ascii="Gill Sans Light" w:hAnsi="Gill Sans Light"/>
          <w:color w:val="000000"/>
          <w:sz w:val="20"/>
          <w:szCs w:val="20"/>
          <w:lang w:eastAsia="fr-FR"/>
        </w:rPr>
      </w:pPr>
      <w:r w:rsidRPr="00630298">
        <w:rPr>
          <w:rFonts w:ascii="Arial" w:hAnsi="Arial" w:cs="Arial"/>
        </w:rPr>
        <w:tab/>
      </w:r>
      <w:r w:rsidR="00B01663" w:rsidRPr="00B01663">
        <w:rPr>
          <w:rFonts w:ascii="Arial" w:hAnsi="Arial" w:cs="Arial"/>
          <w:color w:val="000000"/>
          <w:sz w:val="20"/>
          <w:szCs w:val="20"/>
          <w:lang w:eastAsia="fr-FR"/>
        </w:rPr>
        <w:t>M</w:t>
      </w:r>
      <w:r w:rsidR="00B01663" w:rsidRPr="0009216A">
        <w:rPr>
          <w:rFonts w:ascii="Gill Sans Light" w:hAnsi="Gill Sans Light"/>
          <w:color w:val="000000"/>
          <w:sz w:val="20"/>
          <w:szCs w:val="20"/>
          <w:lang w:eastAsia="fr-FR"/>
        </w:rPr>
        <w:t xml:space="preserve"> </w:t>
      </w:r>
      <w:r w:rsidR="00B01663" w:rsidRPr="0009216A">
        <w:rPr>
          <w:rFonts w:ascii="Wingdings" w:hAnsi="Wingdings"/>
          <w:color w:val="000000"/>
          <w:sz w:val="20"/>
          <w:szCs w:val="20"/>
        </w:rPr>
        <w:t></w:t>
      </w:r>
      <w:r w:rsidR="00B01663" w:rsidRPr="0009216A">
        <w:rPr>
          <w:rFonts w:ascii="Gill Sans Light" w:hAnsi="Gill Sans Light"/>
          <w:color w:val="000000"/>
          <w:sz w:val="20"/>
          <w:szCs w:val="20"/>
          <w:lang w:eastAsia="fr-FR"/>
        </w:rPr>
        <w:t xml:space="preserve"> </w:t>
      </w:r>
      <w:r w:rsidR="00B01663" w:rsidRPr="00B01663">
        <w:rPr>
          <w:rFonts w:ascii="Arial" w:hAnsi="Arial" w:cs="Arial"/>
          <w:color w:val="000000"/>
          <w:lang w:eastAsia="fr-FR"/>
        </w:rPr>
        <w:t>Expertise marine</w:t>
      </w:r>
    </w:p>
    <w:p w14:paraId="2946A52A" w14:textId="169DF515" w:rsidR="00A41CC9" w:rsidRDefault="001B45E2" w:rsidP="00B01663">
      <w:pPr>
        <w:tabs>
          <w:tab w:val="left" w:pos="1418"/>
          <w:tab w:val="left" w:pos="4820"/>
        </w:tabs>
        <w:spacing w:after="0"/>
        <w:ind w:left="1418"/>
        <w:jc w:val="both"/>
        <w:rPr>
          <w:rFonts w:ascii="Arial" w:hAnsi="Arial" w:cs="Arial"/>
        </w:rPr>
      </w:pPr>
      <w:r>
        <w:rPr>
          <w:rFonts w:ascii="Arial" w:hAnsi="Arial" w:cs="Arial"/>
        </w:rPr>
        <w:t>(418) 750-5685</w:t>
      </w:r>
    </w:p>
    <w:p w14:paraId="7941BDB0" w14:textId="77777777" w:rsidR="001B45E2" w:rsidRPr="0009216A" w:rsidRDefault="00172AC4" w:rsidP="001B45E2">
      <w:pPr>
        <w:tabs>
          <w:tab w:val="left" w:pos="1418"/>
          <w:tab w:val="left" w:pos="4820"/>
        </w:tabs>
        <w:spacing w:after="0"/>
        <w:ind w:left="1418"/>
        <w:jc w:val="both"/>
        <w:rPr>
          <w:rFonts w:ascii="Gill Sans Light" w:hAnsi="Gill Sans Light"/>
          <w:color w:val="000000"/>
          <w:sz w:val="20"/>
          <w:szCs w:val="20"/>
          <w:lang w:eastAsia="fr-FR"/>
        </w:rPr>
      </w:pPr>
      <w:hyperlink r:id="rId7" w:history="1">
        <w:r w:rsidR="001B45E2" w:rsidRPr="0009216A">
          <w:rPr>
            <w:rStyle w:val="Lienhypertexte"/>
            <w:rFonts w:ascii="Gill Sans Light" w:hAnsi="Gill Sans Light"/>
            <w:sz w:val="20"/>
            <w:szCs w:val="20"/>
            <w:lang w:eastAsia="fr-FR"/>
          </w:rPr>
          <w:t>lyne@m-expertisemarine.com</w:t>
        </w:r>
      </w:hyperlink>
    </w:p>
    <w:p w14:paraId="6A16FAFA" w14:textId="77777777" w:rsidR="001B45E2" w:rsidRPr="0009216A" w:rsidRDefault="00172AC4" w:rsidP="001B45E2">
      <w:pPr>
        <w:tabs>
          <w:tab w:val="left" w:pos="1418"/>
          <w:tab w:val="left" w:pos="4820"/>
        </w:tabs>
        <w:spacing w:after="0"/>
        <w:ind w:left="1418"/>
        <w:jc w:val="both"/>
        <w:rPr>
          <w:rFonts w:ascii="Gill Sans Light" w:hAnsi="Gill Sans Light"/>
          <w:color w:val="000000"/>
          <w:sz w:val="20"/>
          <w:szCs w:val="20"/>
          <w:lang w:eastAsia="fr-FR"/>
        </w:rPr>
      </w:pPr>
      <w:hyperlink r:id="rId8" w:history="1">
        <w:r w:rsidR="001B45E2" w:rsidRPr="0009216A">
          <w:rPr>
            <w:rStyle w:val="Lienhypertexte"/>
            <w:rFonts w:ascii="Gill Sans Light" w:hAnsi="Gill Sans Light"/>
            <w:sz w:val="20"/>
            <w:szCs w:val="20"/>
            <w:lang w:eastAsia="fr-FR"/>
          </w:rPr>
          <w:t>www.m-expertisemarine.com</w:t>
        </w:r>
      </w:hyperlink>
    </w:p>
    <w:p w14:paraId="44CFF6F4" w14:textId="77777777" w:rsidR="001B45E2" w:rsidRPr="00B01663" w:rsidRDefault="001B45E2" w:rsidP="00B01663">
      <w:pPr>
        <w:tabs>
          <w:tab w:val="left" w:pos="1418"/>
          <w:tab w:val="left" w:pos="4820"/>
        </w:tabs>
        <w:spacing w:after="0"/>
        <w:ind w:left="1418"/>
        <w:jc w:val="both"/>
        <w:rPr>
          <w:rFonts w:ascii="Arial" w:hAnsi="Arial" w:cs="Arial"/>
        </w:rPr>
      </w:pPr>
    </w:p>
    <w:p w14:paraId="45BB1C20" w14:textId="77777777" w:rsidR="002648FE" w:rsidRPr="00630298" w:rsidRDefault="002648FE" w:rsidP="002648FE">
      <w:pPr>
        <w:rPr>
          <w:rFonts w:ascii="Arial" w:hAnsi="Arial" w:cs="Arial"/>
          <w:b/>
          <w:sz w:val="20"/>
          <w:szCs w:val="20"/>
        </w:rPr>
      </w:pPr>
    </w:p>
    <w:p w14:paraId="3632C33B" w14:textId="77777777" w:rsidR="002648FE" w:rsidRPr="00630298" w:rsidRDefault="002648FE" w:rsidP="002648FE">
      <w:pPr>
        <w:rPr>
          <w:rFonts w:ascii="Arial" w:hAnsi="Arial" w:cs="Arial"/>
          <w:b/>
          <w:sz w:val="20"/>
          <w:szCs w:val="20"/>
        </w:rPr>
      </w:pPr>
    </w:p>
    <w:p w14:paraId="54786C79" w14:textId="77777777" w:rsidR="002648FE" w:rsidRPr="00630298" w:rsidRDefault="002648FE" w:rsidP="002648FE">
      <w:pPr>
        <w:rPr>
          <w:rFonts w:ascii="Arial" w:hAnsi="Arial" w:cs="Arial"/>
          <w:b/>
          <w:sz w:val="20"/>
          <w:szCs w:val="20"/>
        </w:rPr>
      </w:pPr>
      <w:r w:rsidRPr="00630298">
        <w:rPr>
          <w:rFonts w:ascii="Arial" w:hAnsi="Arial" w:cs="Arial"/>
          <w:b/>
          <w:sz w:val="20"/>
          <w:szCs w:val="20"/>
        </w:rPr>
        <w:t>À propos de la Commission scolaire des Phares</w:t>
      </w:r>
    </w:p>
    <w:p w14:paraId="2AE64715" w14:textId="77777777" w:rsidR="002648FE" w:rsidRPr="00630298" w:rsidRDefault="002648FE" w:rsidP="002648FE">
      <w:pPr>
        <w:pStyle w:val="NormalWeb"/>
        <w:jc w:val="both"/>
        <w:rPr>
          <w:rFonts w:ascii="Arial" w:hAnsi="Arial" w:cs="Arial"/>
          <w:sz w:val="20"/>
          <w:szCs w:val="20"/>
          <w:lang w:val="fr-FR"/>
        </w:rPr>
      </w:pPr>
      <w:r w:rsidRPr="00630298">
        <w:rPr>
          <w:rFonts w:ascii="Arial" w:hAnsi="Arial" w:cs="Arial"/>
          <w:sz w:val="20"/>
          <w:szCs w:val="20"/>
          <w:lang w:val="fr-FR"/>
        </w:rPr>
        <w:t xml:space="preserve">La Commission scolaire des Phares couvre le territoire des municipalités régionales de comtés de La </w:t>
      </w:r>
      <w:proofErr w:type="spellStart"/>
      <w:r w:rsidRPr="00630298">
        <w:rPr>
          <w:rFonts w:ascii="Arial" w:hAnsi="Arial" w:cs="Arial"/>
          <w:sz w:val="20"/>
          <w:szCs w:val="20"/>
          <w:lang w:val="fr-FR"/>
        </w:rPr>
        <w:t>Mitis</w:t>
      </w:r>
      <w:proofErr w:type="spellEnd"/>
      <w:r w:rsidRPr="00630298">
        <w:rPr>
          <w:rFonts w:ascii="Arial" w:hAnsi="Arial" w:cs="Arial"/>
          <w:sz w:val="20"/>
          <w:szCs w:val="20"/>
          <w:lang w:val="fr-FR"/>
        </w:rPr>
        <w:t xml:space="preserve"> et de Rimouski-</w:t>
      </w:r>
      <w:proofErr w:type="spellStart"/>
      <w:r w:rsidRPr="00630298">
        <w:rPr>
          <w:rFonts w:ascii="Arial" w:hAnsi="Arial" w:cs="Arial"/>
          <w:sz w:val="20"/>
          <w:szCs w:val="20"/>
          <w:lang w:val="fr-FR"/>
        </w:rPr>
        <w:t>Neigette</w:t>
      </w:r>
      <w:proofErr w:type="spellEnd"/>
      <w:r w:rsidRPr="00630298">
        <w:rPr>
          <w:rFonts w:ascii="Arial" w:hAnsi="Arial" w:cs="Arial"/>
          <w:sz w:val="20"/>
          <w:szCs w:val="20"/>
          <w:lang w:val="fr-FR"/>
        </w:rPr>
        <w:t>. Elle offre des services à près de 10 000 élèves, jeunes et adultes. La Commission scolaire des Phares joue un rôle de premier plan en matière d’éducation. Elle intervient au préscolaire, au primaire et au secondaire, en formation professionnelle, en formation des adultes et offre également un service d’aide aux entreprises en plein essor. Par la mise en œuvre quotidienne de sa mission, la Commission scolaire des Phares favorise l’accès au savoir et à la culture, contribue au rehaussement du niveau scientifique, culturel, spirituel et professionnel et assure la promotion de l’éducation. Le rôle de la Commission scolaire des Phares dans le développement régional en fait un rouage essentiel de la région bas-laurentienne.</w:t>
      </w:r>
    </w:p>
    <w:p w14:paraId="5F41C466" w14:textId="77777777" w:rsidR="002648FE" w:rsidRDefault="002648FE" w:rsidP="00246ADE"/>
    <w:sectPr w:rsidR="002648FE" w:rsidSect="00E52422">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Gill Sans Light">
    <w:altName w:val="Segoe UI Semilight"/>
    <w:charset w:val="00"/>
    <w:family w:val="swiss"/>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3"/>
    <w:rsid w:val="00004D8F"/>
    <w:rsid w:val="000074DD"/>
    <w:rsid w:val="00097D58"/>
    <w:rsid w:val="000F4E48"/>
    <w:rsid w:val="00133F68"/>
    <w:rsid w:val="00142DED"/>
    <w:rsid w:val="00172AC4"/>
    <w:rsid w:val="00191F95"/>
    <w:rsid w:val="001B45E2"/>
    <w:rsid w:val="0021471F"/>
    <w:rsid w:val="00246ADE"/>
    <w:rsid w:val="002648FE"/>
    <w:rsid w:val="002A0FBF"/>
    <w:rsid w:val="003343E5"/>
    <w:rsid w:val="0035646B"/>
    <w:rsid w:val="0037165B"/>
    <w:rsid w:val="00470211"/>
    <w:rsid w:val="004B4F8D"/>
    <w:rsid w:val="005435AF"/>
    <w:rsid w:val="005C74FE"/>
    <w:rsid w:val="00611093"/>
    <w:rsid w:val="00630298"/>
    <w:rsid w:val="00675C01"/>
    <w:rsid w:val="006D1128"/>
    <w:rsid w:val="007238A2"/>
    <w:rsid w:val="007B2D34"/>
    <w:rsid w:val="007F2ACE"/>
    <w:rsid w:val="008106F1"/>
    <w:rsid w:val="00827B03"/>
    <w:rsid w:val="00836F48"/>
    <w:rsid w:val="008607C6"/>
    <w:rsid w:val="00876A77"/>
    <w:rsid w:val="0087709D"/>
    <w:rsid w:val="008F0819"/>
    <w:rsid w:val="00904656"/>
    <w:rsid w:val="009B6239"/>
    <w:rsid w:val="00A22892"/>
    <w:rsid w:val="00A354BF"/>
    <w:rsid w:val="00A41CC9"/>
    <w:rsid w:val="00A41EFA"/>
    <w:rsid w:val="00AB57D1"/>
    <w:rsid w:val="00B01663"/>
    <w:rsid w:val="00B364DC"/>
    <w:rsid w:val="00B83AD8"/>
    <w:rsid w:val="00B85C3D"/>
    <w:rsid w:val="00BA219B"/>
    <w:rsid w:val="00C722D9"/>
    <w:rsid w:val="00CF1D21"/>
    <w:rsid w:val="00D67B03"/>
    <w:rsid w:val="00D93752"/>
    <w:rsid w:val="00E52422"/>
    <w:rsid w:val="00E64762"/>
    <w:rsid w:val="00E67528"/>
    <w:rsid w:val="00E959E8"/>
    <w:rsid w:val="00EA2F0F"/>
    <w:rsid w:val="00F21803"/>
    <w:rsid w:val="00F9441C"/>
    <w:rsid w:val="00FB0E7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1A395"/>
  <w15:docId w15:val="{698C3320-2BAF-4B3F-A1E4-1435CC71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F21803"/>
    <w:pPr>
      <w:framePr w:hSpace="187" w:wrap="around" w:vAnchor="page" w:hAnchor="page" w:xAlign="center" w:y="1441"/>
      <w:spacing w:after="0" w:line="240" w:lineRule="auto"/>
    </w:pPr>
    <w:rPr>
      <w:rFonts w:ascii="Century Gothic" w:eastAsia="Times New Roman" w:hAnsi="Century Gothic" w:cs="Century Gothic"/>
      <w:caps/>
      <w:color w:val="642100"/>
      <w:sz w:val="18"/>
      <w:szCs w:val="18"/>
      <w:lang w:val="fr-FR" w:eastAsia="fr-FR"/>
    </w:rPr>
  </w:style>
  <w:style w:type="paragraph" w:customStyle="1" w:styleId="CompanyInformation">
    <w:name w:val="Company Information"/>
    <w:basedOn w:val="Normal"/>
    <w:uiPriority w:val="99"/>
    <w:rsid w:val="00F21803"/>
    <w:pPr>
      <w:spacing w:after="0" w:line="200" w:lineRule="exact"/>
    </w:pPr>
    <w:rPr>
      <w:rFonts w:ascii="Century Gothic" w:eastAsia="Times New Roman" w:hAnsi="Century Gothic" w:cs="Century Gothic"/>
      <w:color w:val="346084"/>
      <w:sz w:val="18"/>
      <w:szCs w:val="18"/>
      <w:lang w:val="fr-FR" w:eastAsia="fr-FR"/>
    </w:rPr>
  </w:style>
  <w:style w:type="paragraph" w:styleId="NormalWeb">
    <w:name w:val="Normal (Web)"/>
    <w:basedOn w:val="Normal"/>
    <w:unhideWhenUsed/>
    <w:rsid w:val="008F081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A0F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0FBF"/>
    <w:rPr>
      <w:rFonts w:ascii="Lucida Grande" w:hAnsi="Lucida Grande" w:cs="Lucida Grande"/>
      <w:sz w:val="18"/>
      <w:szCs w:val="18"/>
    </w:rPr>
  </w:style>
  <w:style w:type="character" w:styleId="Lienhypertexte">
    <w:name w:val="Hyperlink"/>
    <w:basedOn w:val="Policepardfaut"/>
    <w:uiPriority w:val="99"/>
    <w:rsid w:val="001B45E2"/>
    <w:rPr>
      <w:color w:val="0000FF"/>
      <w:u w:val="single"/>
    </w:rPr>
  </w:style>
  <w:style w:type="character" w:styleId="Lienhypertextesuivivisit">
    <w:name w:val="FollowedHyperlink"/>
    <w:basedOn w:val="Policepardfaut"/>
    <w:uiPriority w:val="99"/>
    <w:semiHidden/>
    <w:unhideWhenUsed/>
    <w:rsid w:val="00611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pertisemarine.com" TargetMode="External"/><Relationship Id="rId3" Type="http://schemas.openxmlformats.org/officeDocument/2006/relationships/webSettings" Target="webSettings.xml"/><Relationship Id="rId7" Type="http://schemas.openxmlformats.org/officeDocument/2006/relationships/hyperlink" Target="mailto:lyne@m-expertisemar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8cpzp3B4t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CsPhares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CSDP</dc:creator>
  <cp:lastModifiedBy>Monique Verdon</cp:lastModifiedBy>
  <cp:revision>2</cp:revision>
  <cp:lastPrinted>2017-10-12T13:34:00Z</cp:lastPrinted>
  <dcterms:created xsi:type="dcterms:W3CDTF">2017-10-12T18:17:00Z</dcterms:created>
  <dcterms:modified xsi:type="dcterms:W3CDTF">2017-10-12T18:17:00Z</dcterms:modified>
</cp:coreProperties>
</file>